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056B77" w:rsidRDefault="00CA303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Slides are available at: </w:t>
      </w:r>
      <w:hyperlink r:id="rId7">
        <w:r>
          <w:rPr>
            <w:rFonts w:ascii="Open Sans" w:eastAsia="Open Sans" w:hAnsi="Open Sans" w:cs="Open Sans"/>
            <w:sz w:val="22"/>
            <w:szCs w:val="22"/>
            <w:u w:val="single"/>
          </w:rPr>
          <w:t>https://assessment.ucdavis.edu/CA2020AAHLE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02" w14:textId="77777777" w:rsidR="00056B77" w:rsidRDefault="00056B77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Open Sans" w:eastAsia="Open Sans" w:hAnsi="Open Sans" w:cs="Open Sans"/>
          <w:sz w:val="22"/>
          <w:szCs w:val="22"/>
        </w:rPr>
      </w:pPr>
    </w:p>
    <w:p w14:paraId="00000003" w14:textId="77777777" w:rsidR="00056B77" w:rsidRDefault="00CA303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Please download this document so you have your own copy.</w:t>
      </w:r>
    </w:p>
    <w:p w14:paraId="00000004" w14:textId="77777777" w:rsidR="00056B77" w:rsidRDefault="00056B77">
      <w:pPr>
        <w:ind w:left="0"/>
        <w:rPr>
          <w:rFonts w:ascii="Open Sans" w:eastAsia="Open Sans" w:hAnsi="Open Sans" w:cs="Open Sans"/>
          <w:b/>
          <w:sz w:val="22"/>
          <w:szCs w:val="22"/>
          <w:u w:val="single"/>
        </w:rPr>
      </w:pPr>
    </w:p>
    <w:p w14:paraId="00000005" w14:textId="77777777" w:rsidR="00056B77" w:rsidRDefault="00CA303E">
      <w:pPr>
        <w:pStyle w:val="Heading1"/>
        <w:rPr>
          <w:rFonts w:ascii="Open Sans" w:eastAsia="Open Sans" w:hAnsi="Open Sans" w:cs="Open Sans"/>
          <w:sz w:val="22"/>
          <w:szCs w:val="22"/>
        </w:rPr>
      </w:pPr>
      <w:bookmarkStart w:id="0" w:name="_axspuccznk7m" w:colFirst="0" w:colLast="0"/>
      <w:bookmarkEnd w:id="0"/>
      <w:r>
        <w:rPr>
          <w:rFonts w:ascii="Open Sans" w:eastAsia="Open Sans" w:hAnsi="Open Sans" w:cs="Open Sans"/>
          <w:sz w:val="22"/>
          <w:szCs w:val="22"/>
        </w:rPr>
        <w:t>Participant Learning Outcomes</w:t>
      </w:r>
    </w:p>
    <w:p w14:paraId="00000006" w14:textId="77777777" w:rsidR="00056B77" w:rsidRDefault="00CA303E">
      <w:pPr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By the end of this session, through active engagement, participants should be able to:</w:t>
      </w:r>
    </w:p>
    <w:p w14:paraId="00000007" w14:textId="77777777" w:rsidR="00056B77" w:rsidRDefault="00CA303E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Explain how transparency-focused research can lead to more equitable assessment practices;</w:t>
      </w:r>
    </w:p>
    <w:p w14:paraId="00000008" w14:textId="77777777" w:rsidR="00056B77" w:rsidRDefault="00CA303E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Describe how student-led research is more inclusive;</w:t>
      </w:r>
    </w:p>
    <w:p w14:paraId="00000009" w14:textId="77777777" w:rsidR="00056B77" w:rsidRDefault="00CA303E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Articulate potential uses</w:t>
      </w:r>
      <w:r>
        <w:rPr>
          <w:rFonts w:ascii="Open Sans" w:eastAsia="Open Sans" w:hAnsi="Open Sans" w:cs="Open Sans"/>
          <w:sz w:val="22"/>
          <w:szCs w:val="22"/>
        </w:rPr>
        <w:t xml:space="preserve"> of this research model in your own contexts; and</w:t>
      </w:r>
    </w:p>
    <w:p w14:paraId="0000000A" w14:textId="77777777" w:rsidR="00056B77" w:rsidRDefault="00CA303E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Articulate how you might use our results to inform decision-making in your own contexts.</w:t>
      </w:r>
    </w:p>
    <w:p w14:paraId="0000000B" w14:textId="77777777" w:rsidR="00056B77" w:rsidRDefault="00056B77">
      <w:pPr>
        <w:spacing w:line="240" w:lineRule="auto"/>
        <w:ind w:left="0"/>
        <w:rPr>
          <w:rFonts w:ascii="Open Sans" w:eastAsia="Open Sans" w:hAnsi="Open Sans" w:cs="Open Sans"/>
          <w:sz w:val="22"/>
          <w:szCs w:val="22"/>
        </w:rPr>
      </w:pPr>
    </w:p>
    <w:p w14:paraId="0000000C" w14:textId="77777777" w:rsidR="00056B77" w:rsidRDefault="00CA303E">
      <w:pPr>
        <w:pStyle w:val="Heading1"/>
        <w:rPr>
          <w:rFonts w:ascii="Open Sans" w:eastAsia="Open Sans" w:hAnsi="Open Sans" w:cs="Open Sans"/>
          <w:sz w:val="22"/>
          <w:szCs w:val="22"/>
        </w:rPr>
      </w:pPr>
      <w:bookmarkStart w:id="1" w:name="_oyavwhq72mfi" w:colFirst="0" w:colLast="0"/>
      <w:bookmarkEnd w:id="1"/>
      <w:r>
        <w:rPr>
          <w:rFonts w:ascii="Open Sans" w:eastAsia="Open Sans" w:hAnsi="Open Sans" w:cs="Open Sans"/>
          <w:sz w:val="22"/>
          <w:szCs w:val="22"/>
        </w:rPr>
        <w:t>Abstract</w:t>
      </w:r>
    </w:p>
    <w:p w14:paraId="0000000D" w14:textId="77777777" w:rsidR="00056B77" w:rsidRDefault="00CA303E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The Curious Aggies project engages students in efforts to promote transparency and inclusivity in campus di</w:t>
      </w:r>
      <w:r>
        <w:rPr>
          <w:rFonts w:ascii="Open Sans" w:eastAsia="Open Sans" w:hAnsi="Open Sans" w:cs="Open Sans"/>
          <w:sz w:val="22"/>
          <w:szCs w:val="22"/>
        </w:rPr>
        <w:t>scussions about how to improve student learning. Co-designed and conducted by student assessment researchers, the purpose of the project is to identify the extent to which learning outcomes are transparent to students at a large, public, research-intensive</w:t>
      </w:r>
      <w:r>
        <w:rPr>
          <w:rFonts w:ascii="Open Sans" w:eastAsia="Open Sans" w:hAnsi="Open Sans" w:cs="Open Sans"/>
          <w:sz w:val="22"/>
          <w:szCs w:val="22"/>
        </w:rPr>
        <w:t xml:space="preserve"> university. In this session, participants will engage in small-, and large-group examinations of student-generated data and discuss potential applicability of findings to participants’ contexts.</w:t>
      </w:r>
    </w:p>
    <w:p w14:paraId="0000000E" w14:textId="77777777" w:rsidR="00056B77" w:rsidRDefault="00056B77">
      <w:pPr>
        <w:spacing w:line="240" w:lineRule="auto"/>
        <w:ind w:left="0"/>
        <w:rPr>
          <w:rFonts w:ascii="Open Sans" w:eastAsia="Open Sans" w:hAnsi="Open Sans" w:cs="Open Sans"/>
          <w:sz w:val="22"/>
          <w:szCs w:val="22"/>
        </w:rPr>
      </w:pPr>
    </w:p>
    <w:p w14:paraId="0000000F" w14:textId="77777777" w:rsidR="00056B77" w:rsidRDefault="00CA303E">
      <w:pPr>
        <w:ind w:left="0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Equity through transparency</w:t>
      </w:r>
    </w:p>
    <w:p w14:paraId="00000010" w14:textId="77777777" w:rsidR="00056B77" w:rsidRDefault="00CA303E">
      <w:pPr>
        <w:ind w:left="0"/>
        <w:jc w:val="center"/>
        <w:rPr>
          <w:rFonts w:ascii="Open Sans" w:eastAsia="Open Sans" w:hAnsi="Open Sans" w:cs="Open Sans"/>
          <w:sz w:val="36"/>
          <w:szCs w:val="36"/>
        </w:rPr>
      </w:pPr>
      <w:r>
        <w:rPr>
          <w:rFonts w:ascii="Open Sans" w:eastAsia="Open Sans" w:hAnsi="Open Sans" w:cs="Open Sans"/>
          <w:sz w:val="28"/>
          <w:szCs w:val="28"/>
        </w:rPr>
        <w:t>Inclusivity through students’ v</w:t>
      </w:r>
      <w:r>
        <w:rPr>
          <w:rFonts w:ascii="Open Sans" w:eastAsia="Open Sans" w:hAnsi="Open Sans" w:cs="Open Sans"/>
          <w:sz w:val="28"/>
          <w:szCs w:val="28"/>
        </w:rPr>
        <w:t>oices</w:t>
      </w:r>
      <w:r>
        <w:rPr>
          <w:rFonts w:ascii="Open Sans" w:eastAsia="Open Sans" w:hAnsi="Open Sans" w:cs="Open Sans"/>
          <w:sz w:val="36"/>
          <w:szCs w:val="36"/>
        </w:rPr>
        <w:t xml:space="preserve"> </w:t>
      </w:r>
    </w:p>
    <w:p w14:paraId="00000011" w14:textId="77777777" w:rsidR="00056B77" w:rsidRDefault="00056B77">
      <w:pPr>
        <w:ind w:left="0"/>
        <w:jc w:val="center"/>
        <w:rPr>
          <w:rFonts w:ascii="Open Sans" w:eastAsia="Open Sans" w:hAnsi="Open Sans" w:cs="Open Sans"/>
          <w:b/>
          <w:sz w:val="22"/>
          <w:szCs w:val="22"/>
          <w:u w:val="single"/>
        </w:rPr>
      </w:pPr>
    </w:p>
    <w:p w14:paraId="00000012" w14:textId="77777777" w:rsidR="00056B77" w:rsidRDefault="00CA303E">
      <w:pPr>
        <w:ind w:left="0"/>
        <w:rPr>
          <w:rFonts w:ascii="Open Sans" w:eastAsia="Open Sans" w:hAnsi="Open Sans" w:cs="Open Sans"/>
          <w:b/>
          <w:sz w:val="22"/>
          <w:szCs w:val="22"/>
          <w:u w:val="single"/>
        </w:rPr>
      </w:pPr>
      <w:r>
        <w:br w:type="page"/>
      </w:r>
    </w:p>
    <w:p w14:paraId="00000013" w14:textId="77777777" w:rsidR="00056B77" w:rsidRDefault="00CA303E">
      <w:pPr>
        <w:pStyle w:val="Heading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Open Sans" w:eastAsia="Open Sans" w:hAnsi="Open Sans" w:cs="Open Sans"/>
          <w:sz w:val="22"/>
          <w:szCs w:val="22"/>
        </w:rPr>
      </w:pPr>
      <w:bookmarkStart w:id="2" w:name="_uo0q8cw2r7n6" w:colFirst="0" w:colLast="0"/>
      <w:bookmarkEnd w:id="2"/>
      <w:r>
        <w:rPr>
          <w:rFonts w:ascii="Open Sans" w:eastAsia="Open Sans" w:hAnsi="Open Sans" w:cs="Open Sans"/>
          <w:sz w:val="22"/>
          <w:szCs w:val="22"/>
        </w:rPr>
        <w:lastRenderedPageBreak/>
        <w:t>Breakout session 1 - Potential Uses of the Research Model</w:t>
      </w:r>
    </w:p>
    <w:p w14:paraId="00000014" w14:textId="77777777" w:rsidR="00056B77" w:rsidRDefault="00CA303E">
      <w:pPr>
        <w:spacing w:before="240" w:after="240"/>
        <w:ind w:left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PLO 3: Articulate potential uses of this research model in your own contexts</w:t>
      </w:r>
    </w:p>
    <w:p w14:paraId="00000015" w14:textId="77777777" w:rsidR="00056B77" w:rsidRDefault="00CA303E">
      <w:pPr>
        <w:ind w:left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Before you start your discussion, please introduce yourself. </w:t>
      </w:r>
      <w:r>
        <w:rPr>
          <w:rFonts w:ascii="Open Sans" w:eastAsia="Open Sans" w:hAnsi="Open Sans" w:cs="Open Sans"/>
          <w:sz w:val="22"/>
          <w:szCs w:val="22"/>
        </w:rPr>
        <w:t>(Name, institution, what brought you to this session)</w:t>
      </w:r>
    </w:p>
    <w:p w14:paraId="00000016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17" w14:textId="77777777" w:rsidR="00056B77" w:rsidRDefault="00CA303E">
      <w:pPr>
        <w:ind w:left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Two characteristics of our research model are:</w:t>
      </w:r>
    </w:p>
    <w:p w14:paraId="00000018" w14:textId="77777777" w:rsidR="00056B77" w:rsidRDefault="00CA303E">
      <w:pPr>
        <w:numPr>
          <w:ilvl w:val="0"/>
          <w:numId w:val="2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Mixed methods</w:t>
      </w:r>
    </w:p>
    <w:p w14:paraId="00000019" w14:textId="77777777" w:rsidR="00056B77" w:rsidRDefault="00CA303E">
      <w:pPr>
        <w:numPr>
          <w:ilvl w:val="1"/>
          <w:numId w:val="2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Quantitative approach: Survey</w:t>
      </w:r>
    </w:p>
    <w:p w14:paraId="0000001A" w14:textId="77777777" w:rsidR="00056B77" w:rsidRDefault="00CA303E">
      <w:pPr>
        <w:numPr>
          <w:ilvl w:val="1"/>
          <w:numId w:val="2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Qualitative approach: Follow-up small-group stude</w:t>
      </w:r>
      <w:r>
        <w:rPr>
          <w:rFonts w:ascii="Open Sans" w:eastAsia="Open Sans" w:hAnsi="Open Sans" w:cs="Open Sans"/>
          <w:sz w:val="22"/>
          <w:szCs w:val="22"/>
        </w:rPr>
        <w:t>nt-led interviews</w:t>
      </w:r>
    </w:p>
    <w:p w14:paraId="0000001B" w14:textId="77777777" w:rsidR="00056B77" w:rsidRDefault="00CA303E">
      <w:pPr>
        <w:numPr>
          <w:ilvl w:val="0"/>
          <w:numId w:val="2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Students as research partners</w:t>
      </w:r>
    </w:p>
    <w:p w14:paraId="0000001C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1D" w14:textId="77777777" w:rsidR="00056B77" w:rsidRDefault="00CA303E">
      <w:pPr>
        <w:numPr>
          <w:ilvl w:val="0"/>
          <w:numId w:val="5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What are some potential uses of this research model in your own context?</w:t>
      </w:r>
    </w:p>
    <w:p w14:paraId="0000001E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1F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0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1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2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3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4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5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6" w14:textId="77777777" w:rsidR="00056B77" w:rsidRDefault="00CA303E">
      <w:pPr>
        <w:numPr>
          <w:ilvl w:val="0"/>
          <w:numId w:val="5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In your context, would you use a different approach to answer questions about clarity and transparency of SLOs?</w:t>
      </w:r>
    </w:p>
    <w:p w14:paraId="00000027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8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9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A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B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2C" w14:textId="77777777" w:rsidR="00056B77" w:rsidRDefault="00CA303E">
      <w:pPr>
        <w:ind w:left="0"/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0000002D" w14:textId="77777777" w:rsidR="00056B77" w:rsidRDefault="00CA303E">
      <w:pPr>
        <w:pStyle w:val="Heading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Open Sans" w:eastAsia="Open Sans" w:hAnsi="Open Sans" w:cs="Open Sans"/>
          <w:sz w:val="22"/>
          <w:szCs w:val="22"/>
        </w:rPr>
      </w:pPr>
      <w:bookmarkStart w:id="3" w:name="_19xg6cta2km" w:colFirst="0" w:colLast="0"/>
      <w:bookmarkEnd w:id="3"/>
      <w:r>
        <w:rPr>
          <w:rFonts w:ascii="Open Sans" w:eastAsia="Open Sans" w:hAnsi="Open Sans" w:cs="Open Sans"/>
          <w:sz w:val="22"/>
          <w:szCs w:val="22"/>
        </w:rPr>
        <w:lastRenderedPageBreak/>
        <w:t>Breakout session 2 - Application of Results</w:t>
      </w:r>
    </w:p>
    <w:p w14:paraId="0000002E" w14:textId="77777777" w:rsidR="00056B77" w:rsidRDefault="00CA303E">
      <w:pPr>
        <w:spacing w:before="240" w:after="240"/>
        <w:ind w:left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PLO 4: Articulate how you might use our results to inform decision-making in your own contexts.</w:t>
      </w:r>
    </w:p>
    <w:p w14:paraId="0000002F" w14:textId="77777777" w:rsidR="00056B77" w:rsidRDefault="00CA303E">
      <w:pPr>
        <w:spacing w:before="240" w:after="240"/>
        <w:ind w:left="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Review the summary of our results below and then answer the questions.</w:t>
      </w:r>
    </w:p>
    <w:p w14:paraId="00000030" w14:textId="77777777" w:rsidR="00056B77" w:rsidRDefault="00CA303E">
      <w:pPr>
        <w:ind w:left="0" w:firstLine="720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Summary of our results:</w:t>
      </w:r>
    </w:p>
    <w:p w14:paraId="00000031" w14:textId="77777777" w:rsidR="00056B77" w:rsidRDefault="00CA303E">
      <w:pPr>
        <w:numPr>
          <w:ilvl w:val="1"/>
          <w:numId w:val="3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Instructor/TA, sylla</w:t>
      </w:r>
      <w:r>
        <w:rPr>
          <w:rFonts w:ascii="Open Sans" w:eastAsia="Open Sans" w:hAnsi="Open Sans" w:cs="Open Sans"/>
          <w:sz w:val="22"/>
          <w:szCs w:val="22"/>
        </w:rPr>
        <w:t>bus, homework, and exams/tests were the most popular sources where students initially found out SLOs.</w:t>
      </w:r>
    </w:p>
    <w:p w14:paraId="00000032" w14:textId="77777777" w:rsidR="00056B77" w:rsidRDefault="00CA303E">
      <w:pPr>
        <w:numPr>
          <w:ilvl w:val="1"/>
          <w:numId w:val="3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Induction was the most frequently named strategy students used to find out what they were expected to learn. The next most frequent strategy was deduction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33" w14:textId="77777777" w:rsidR="00056B77" w:rsidRDefault="00CA303E">
      <w:pPr>
        <w:numPr>
          <w:ilvl w:val="1"/>
          <w:numId w:val="3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The least frequently mentioned strategy was: Do Nothing.</w:t>
      </w:r>
    </w:p>
    <w:p w14:paraId="00000034" w14:textId="77777777" w:rsidR="00056B77" w:rsidRDefault="00CA303E">
      <w:pPr>
        <w:numPr>
          <w:ilvl w:val="1"/>
          <w:numId w:val="3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When SLOs are unclear, students refer to syllabi and lectures. </w:t>
      </w:r>
    </w:p>
    <w:p w14:paraId="00000035" w14:textId="77777777" w:rsidR="00056B77" w:rsidRDefault="00CA303E">
      <w:pPr>
        <w:numPr>
          <w:ilvl w:val="1"/>
          <w:numId w:val="3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When SLOs are unclear, students prefer asking peers and TAs rather than professors.</w:t>
      </w:r>
    </w:p>
    <w:p w14:paraId="00000036" w14:textId="77777777" w:rsidR="00056B77" w:rsidRDefault="00CA303E">
      <w:pPr>
        <w:numPr>
          <w:ilvl w:val="1"/>
          <w:numId w:val="3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Students articulated negative implications result</w:t>
      </w:r>
      <w:r>
        <w:rPr>
          <w:rFonts w:ascii="Open Sans" w:eastAsia="Open Sans" w:hAnsi="Open Sans" w:cs="Open Sans"/>
          <w:sz w:val="22"/>
          <w:szCs w:val="22"/>
        </w:rPr>
        <w:t>ing from unclear SLOs and positive implications when SLOs are clear.</w:t>
      </w:r>
    </w:p>
    <w:p w14:paraId="00000037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38" w14:textId="77777777" w:rsidR="00056B77" w:rsidRDefault="00CA303E">
      <w:pPr>
        <w:numPr>
          <w:ilvl w:val="0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To what extent do you think you would find similar results in your context? Why? Why not?</w:t>
      </w:r>
    </w:p>
    <w:p w14:paraId="00000039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3A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3B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3C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3D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3E" w14:textId="77777777" w:rsidR="00056B77" w:rsidRDefault="00CA303E">
      <w:pPr>
        <w:numPr>
          <w:ilvl w:val="0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If you were to find similar results, what actions would you take to ensure that students know what they are expected to learn? Specifically: How might you address the negative implications for students who are not clear on what they are expected to learn? </w:t>
      </w:r>
    </w:p>
    <w:p w14:paraId="0000003F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40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41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p w14:paraId="00000042" w14:textId="77777777" w:rsidR="00056B77" w:rsidRDefault="00056B77">
      <w:pPr>
        <w:ind w:left="0"/>
        <w:rPr>
          <w:rFonts w:ascii="Open Sans" w:eastAsia="Open Sans" w:hAnsi="Open Sans" w:cs="Open Sans"/>
          <w:b/>
          <w:sz w:val="22"/>
          <w:szCs w:val="22"/>
          <w:u w:val="single"/>
        </w:rPr>
      </w:pPr>
    </w:p>
    <w:p w14:paraId="00000043" w14:textId="77777777" w:rsidR="00056B77" w:rsidRDefault="00056B77">
      <w:pPr>
        <w:rPr>
          <w:rFonts w:ascii="Open Sans" w:eastAsia="Open Sans" w:hAnsi="Open Sans" w:cs="Open Sans"/>
          <w:sz w:val="22"/>
          <w:szCs w:val="22"/>
        </w:rPr>
      </w:pPr>
    </w:p>
    <w:p w14:paraId="00000044" w14:textId="77777777" w:rsidR="00056B77" w:rsidRDefault="00056B77">
      <w:pPr>
        <w:rPr>
          <w:rFonts w:ascii="Open Sans" w:eastAsia="Open Sans" w:hAnsi="Open Sans" w:cs="Open Sans"/>
          <w:sz w:val="22"/>
          <w:szCs w:val="22"/>
        </w:rPr>
      </w:pPr>
    </w:p>
    <w:p w14:paraId="00000045" w14:textId="77777777" w:rsidR="00056B77" w:rsidRDefault="00056B77">
      <w:pPr>
        <w:pStyle w:val="Heading1"/>
        <w:rPr>
          <w:rFonts w:ascii="Open Sans" w:eastAsia="Open Sans" w:hAnsi="Open Sans" w:cs="Open Sans"/>
          <w:sz w:val="22"/>
          <w:szCs w:val="22"/>
        </w:rPr>
        <w:sectPr w:rsidR="00056B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  <w:bookmarkStart w:id="4" w:name="_7h3j9igxl01f" w:colFirst="0" w:colLast="0"/>
      <w:bookmarkEnd w:id="4"/>
    </w:p>
    <w:p w14:paraId="00000046" w14:textId="77777777" w:rsidR="00056B77" w:rsidRDefault="00CA303E">
      <w:pPr>
        <w:pStyle w:val="Heading1"/>
        <w:spacing w:after="200"/>
        <w:rPr>
          <w:rFonts w:ascii="Open Sans" w:eastAsia="Open Sans" w:hAnsi="Open Sans" w:cs="Open Sans"/>
          <w:sz w:val="22"/>
          <w:szCs w:val="22"/>
        </w:rPr>
      </w:pPr>
      <w:bookmarkStart w:id="5" w:name="_o6no1gcmax0x" w:colFirst="0" w:colLast="0"/>
      <w:bookmarkEnd w:id="5"/>
      <w:r>
        <w:rPr>
          <w:rFonts w:ascii="Open Sans" w:eastAsia="Open Sans" w:hAnsi="Open Sans" w:cs="Open Sans"/>
          <w:sz w:val="22"/>
          <w:szCs w:val="22"/>
        </w:rPr>
        <w:lastRenderedPageBreak/>
        <w:t>Want to know more</w:t>
      </w:r>
      <w:r>
        <w:rPr>
          <w:rFonts w:ascii="Open Sans" w:eastAsia="Open Sans" w:hAnsi="Open Sans" w:cs="Open Sans"/>
          <w:sz w:val="22"/>
          <w:szCs w:val="22"/>
        </w:rPr>
        <w:t xml:space="preserve">? </w:t>
      </w:r>
    </w:p>
    <w:p w14:paraId="00000047" w14:textId="77777777" w:rsidR="00056B77" w:rsidRDefault="00CA303E">
      <w:pPr>
        <w:spacing w:line="480" w:lineRule="auto"/>
        <w:ind w:left="720" w:hanging="720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Balloo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K., Evans, C., Hughes, A., Zhu, X., &amp;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Winstone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N. (2018). Transparency Isn’t Spoon-Feeding: How a Transformative Approach to the Use of Explicit Assessment Criteria Can Support Student Self-Regulation. </w:t>
      </w:r>
      <w:r>
        <w:rPr>
          <w:rFonts w:ascii="Open Sans" w:eastAsia="Open Sans" w:hAnsi="Open Sans" w:cs="Open Sans"/>
          <w:i/>
          <w:sz w:val="22"/>
          <w:szCs w:val="22"/>
        </w:rPr>
        <w:t>Frontiers in Education, 3</w:t>
      </w:r>
      <w:r>
        <w:rPr>
          <w:rFonts w:ascii="Open Sans" w:eastAsia="Open Sans" w:hAnsi="Open Sans" w:cs="Open Sans"/>
          <w:sz w:val="22"/>
          <w:szCs w:val="22"/>
        </w:rPr>
        <w:t>(69).</w:t>
      </w:r>
      <w:hyperlink r:id="rId14">
        <w:r>
          <w:rPr>
            <w:rFonts w:ascii="Open Sans" w:eastAsia="Open Sans" w:hAnsi="Open Sans" w:cs="Open Sans"/>
            <w:sz w:val="22"/>
            <w:szCs w:val="22"/>
          </w:rPr>
          <w:t xml:space="preserve"> </w:t>
        </w:r>
      </w:hyperlink>
      <w:hyperlink r:id="rId15">
        <w:r>
          <w:rPr>
            <w:rFonts w:ascii="Open Sans" w:eastAsia="Open Sans" w:hAnsi="Open Sans" w:cs="Open Sans"/>
            <w:sz w:val="22"/>
            <w:szCs w:val="22"/>
            <w:u w:val="single"/>
          </w:rPr>
          <w:t>https://doi.org/10.3389/feduc.2018.00069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00000048" w14:textId="77777777" w:rsidR="00056B77" w:rsidRDefault="00CA303E">
      <w:pPr>
        <w:spacing w:line="480" w:lineRule="auto"/>
        <w:ind w:left="720" w:hanging="72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Cain, T. R., &amp; Hutchings, P. (2015). Faculty and Students: Assessment at the Intersection of Teaching and</w:t>
      </w:r>
      <w:r>
        <w:rPr>
          <w:rFonts w:ascii="Open Sans" w:eastAsia="Open Sans" w:hAnsi="Open Sans" w:cs="Open Sans"/>
          <w:sz w:val="22"/>
          <w:szCs w:val="22"/>
        </w:rPr>
        <w:t xml:space="preserve"> Learning. In G. D.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Kuh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S. O.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Ikenberry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N. A. Jankowski, T. R. Cain, P. T. Ewell , P. Hutchings, &amp; J. Kinzie (Eds.), </w:t>
      </w:r>
      <w:r>
        <w:rPr>
          <w:rFonts w:ascii="Open Sans" w:eastAsia="Open Sans" w:hAnsi="Open Sans" w:cs="Open Sans"/>
          <w:i/>
          <w:sz w:val="22"/>
          <w:szCs w:val="22"/>
        </w:rPr>
        <w:t>Using Evidence of Student Learning to Improve Higher Education</w:t>
      </w:r>
      <w:r>
        <w:rPr>
          <w:rFonts w:ascii="Open Sans" w:eastAsia="Open Sans" w:hAnsi="Open Sans" w:cs="Open Sans"/>
          <w:sz w:val="22"/>
          <w:szCs w:val="22"/>
        </w:rPr>
        <w:t xml:space="preserve"> (pp. 95-116). Jossey-Bass. </w:t>
      </w:r>
    </w:p>
    <w:p w14:paraId="00000049" w14:textId="77777777" w:rsidR="00056B77" w:rsidRDefault="00CA303E">
      <w:pPr>
        <w:spacing w:line="480" w:lineRule="auto"/>
        <w:ind w:left="720" w:hanging="72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Montenegro, E., &amp; Jankowski, N. A. (2020). A New Decade for Assessment: Embedding Equity into Assessment Praxis (Occasional Paper No. 42).</w:t>
      </w:r>
      <w:hyperlink r:id="rId16">
        <w:r>
          <w:rPr>
            <w:rFonts w:ascii="Open Sans" w:eastAsia="Open Sans" w:hAnsi="Open Sans" w:cs="Open Sans"/>
            <w:sz w:val="22"/>
            <w:szCs w:val="22"/>
          </w:rPr>
          <w:t xml:space="preserve"> </w:t>
        </w:r>
      </w:hyperlink>
      <w:hyperlink r:id="rId17">
        <w:r>
          <w:rPr>
            <w:rFonts w:ascii="Open Sans" w:eastAsia="Open Sans" w:hAnsi="Open Sans" w:cs="Open Sans"/>
            <w:sz w:val="22"/>
            <w:szCs w:val="22"/>
            <w:u w:val="single"/>
          </w:rPr>
          <w:t>www.learningoutcomesassessment.org</w:t>
        </w:r>
      </w:hyperlink>
    </w:p>
    <w:p w14:paraId="0000004A" w14:textId="77777777" w:rsidR="00056B77" w:rsidRDefault="00CA303E">
      <w:pPr>
        <w:spacing w:line="480" w:lineRule="auto"/>
        <w:ind w:left="720" w:hanging="72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Sturgis, C., &amp; Jones, A. (2017). In Pursuit of Equality: A Framework for Equity Strategies in Competency-Based Education.</w:t>
      </w:r>
      <w:hyperlink r:id="rId18">
        <w:r>
          <w:rPr>
            <w:rFonts w:ascii="Open Sans" w:eastAsia="Open Sans" w:hAnsi="Open Sans" w:cs="Open Sans"/>
            <w:sz w:val="22"/>
            <w:szCs w:val="22"/>
          </w:rPr>
          <w:t xml:space="preserve"> </w:t>
        </w:r>
      </w:hyperlink>
      <w:hyperlink r:id="rId19">
        <w:r>
          <w:rPr>
            <w:rFonts w:ascii="Open Sans" w:eastAsia="Open Sans" w:hAnsi="Open Sans" w:cs="Open Sans"/>
            <w:sz w:val="22"/>
            <w:szCs w:val="22"/>
            <w:u w:val="single"/>
          </w:rPr>
          <w:t>ht</w:t>
        </w:r>
        <w:r>
          <w:rPr>
            <w:rFonts w:ascii="Open Sans" w:eastAsia="Open Sans" w:hAnsi="Open Sans" w:cs="Open Sans"/>
            <w:sz w:val="22"/>
            <w:szCs w:val="22"/>
            <w:u w:val="single"/>
          </w:rPr>
          <w:t>tps://www.competencyworks.org/wp-content/uploads/2017/06/CompetencyWorks-InPursuitOfEquality-AFrameworkForEquityStrategiesInCompetencyBasedEducation.pdf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4B" w14:textId="77777777" w:rsidR="00056B77" w:rsidRDefault="00CA303E">
      <w:pPr>
        <w:spacing w:line="480" w:lineRule="auto"/>
        <w:ind w:left="720" w:hanging="720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Winkelmes</w:t>
      </w:r>
      <w:proofErr w:type="spellEnd"/>
      <w:r>
        <w:rPr>
          <w:rFonts w:ascii="Open Sans" w:eastAsia="Open Sans" w:hAnsi="Open Sans" w:cs="Open Sans"/>
          <w:sz w:val="22"/>
          <w:szCs w:val="22"/>
        </w:rPr>
        <w:t>, M. A. (2013). Transparency in Teaching: Faculty Share Data and Improve Students' Learning [</w:t>
      </w:r>
      <w:r>
        <w:rPr>
          <w:rFonts w:ascii="Open Sans" w:eastAsia="Open Sans" w:hAnsi="Open Sans" w:cs="Open Sans"/>
          <w:sz w:val="22"/>
          <w:szCs w:val="22"/>
        </w:rPr>
        <w:t xml:space="preserve">Opinion]. </w:t>
      </w:r>
      <w:r>
        <w:rPr>
          <w:rFonts w:ascii="Open Sans" w:eastAsia="Open Sans" w:hAnsi="Open Sans" w:cs="Open Sans"/>
          <w:i/>
          <w:sz w:val="22"/>
          <w:szCs w:val="22"/>
        </w:rPr>
        <w:t>Liberal Education, 99</w:t>
      </w:r>
      <w:r>
        <w:rPr>
          <w:rFonts w:ascii="Open Sans" w:eastAsia="Open Sans" w:hAnsi="Open Sans" w:cs="Open Sans"/>
          <w:sz w:val="22"/>
          <w:szCs w:val="22"/>
        </w:rPr>
        <w:t>(2), 48-55.</w:t>
      </w:r>
      <w:hyperlink r:id="rId20">
        <w:r>
          <w:rPr>
            <w:rFonts w:ascii="Open Sans" w:eastAsia="Open Sans" w:hAnsi="Open Sans" w:cs="Open Sans"/>
            <w:sz w:val="22"/>
            <w:szCs w:val="22"/>
          </w:rPr>
          <w:t xml:space="preserve"> </w:t>
        </w:r>
      </w:hyperlink>
      <w:hyperlink r:id="rId21">
        <w:r>
          <w:rPr>
            <w:rFonts w:ascii="Open Sans" w:eastAsia="Open Sans" w:hAnsi="Open Sans" w:cs="Open Sans"/>
            <w:sz w:val="20"/>
            <w:szCs w:val="20"/>
            <w:u w:val="single"/>
          </w:rPr>
          <w:t>htt</w:t>
        </w:r>
        <w:r>
          <w:rPr>
            <w:rFonts w:ascii="Open Sans" w:eastAsia="Open Sans" w:hAnsi="Open Sans" w:cs="Open Sans"/>
            <w:sz w:val="20"/>
            <w:szCs w:val="20"/>
            <w:u w:val="single"/>
          </w:rPr>
          <w:t>p://search.ebscohost.com/login.aspx?direct=true&amp;db=a9h&amp;AN=93465864&amp;site=ehost-live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000004C" w14:textId="77777777" w:rsidR="00056B77" w:rsidRDefault="00056B77">
      <w:pPr>
        <w:ind w:left="0"/>
        <w:rPr>
          <w:rFonts w:ascii="Open Sans" w:eastAsia="Open Sans" w:hAnsi="Open Sans" w:cs="Open Sans"/>
          <w:sz w:val="22"/>
          <w:szCs w:val="22"/>
        </w:rPr>
      </w:pPr>
    </w:p>
    <w:sectPr w:rsidR="00056B77">
      <w:pgSz w:w="12240" w:h="15840"/>
      <w:pgMar w:top="1080" w:right="1080" w:bottom="1080" w:left="108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FC8B" w14:textId="77777777" w:rsidR="00CA303E" w:rsidRDefault="00CA303E">
      <w:pPr>
        <w:spacing w:line="240" w:lineRule="auto"/>
      </w:pPr>
      <w:r>
        <w:separator/>
      </w:r>
    </w:p>
  </w:endnote>
  <w:endnote w:type="continuationSeparator" w:id="0">
    <w:p w14:paraId="342E1E1F" w14:textId="77777777" w:rsidR="00CA303E" w:rsidRDefault="00CA3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E179" w14:textId="77777777" w:rsidR="0017682D" w:rsidRDefault="00176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4" w14:textId="77777777" w:rsidR="00056B77" w:rsidRDefault="00CA303E">
    <w:pPr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>Ann Glazer (</w:t>
    </w:r>
    <w:hyperlink r:id="rId1">
      <w:r>
        <w:rPr>
          <w:rFonts w:ascii="Open Sans" w:eastAsia="Open Sans" w:hAnsi="Open Sans" w:cs="Open Sans"/>
          <w:color w:val="1155CC"/>
          <w:sz w:val="18"/>
          <w:szCs w:val="18"/>
          <w:u w:val="single"/>
        </w:rPr>
        <w:t>aglazer@ucdavis.edu</w:t>
      </w:r>
    </w:hyperlink>
    <w:r>
      <w:rPr>
        <w:rFonts w:ascii="Open Sans" w:eastAsia="Open Sans" w:hAnsi="Open Sans" w:cs="Open Sans"/>
        <w:sz w:val="18"/>
        <w:szCs w:val="18"/>
      </w:rPr>
      <w:t>) | Kara Moloney (</w:t>
    </w:r>
    <w:hyperlink r:id="rId2">
      <w:r>
        <w:rPr>
          <w:rFonts w:ascii="Open Sans" w:eastAsia="Open Sans" w:hAnsi="Open Sans" w:cs="Open Sans"/>
          <w:color w:val="1155CC"/>
          <w:sz w:val="18"/>
          <w:szCs w:val="18"/>
          <w:u w:val="single"/>
        </w:rPr>
        <w:t>kmoloney@ucdavis.edu</w:t>
      </w:r>
    </w:hyperlink>
    <w:r>
      <w:rPr>
        <w:rFonts w:ascii="Open Sans" w:eastAsia="Open Sans" w:hAnsi="Open Sans" w:cs="Open Sans"/>
        <w:sz w:val="18"/>
        <w:szCs w:val="18"/>
      </w:rPr>
      <w:t>) | Young-A Son (</w:t>
    </w:r>
    <w:hyperlink r:id="rId3">
      <w:r>
        <w:rPr>
          <w:rFonts w:ascii="Open Sans" w:eastAsia="Open Sans" w:hAnsi="Open Sans" w:cs="Open Sans"/>
          <w:color w:val="1155CC"/>
          <w:sz w:val="18"/>
          <w:szCs w:val="18"/>
          <w:u w:val="single"/>
        </w:rPr>
        <w:t>yason@ucdavis.edu</w:t>
      </w:r>
    </w:hyperlink>
    <w:r>
      <w:rPr>
        <w:rFonts w:ascii="Open Sans" w:eastAsia="Open Sans" w:hAnsi="Open Sans" w:cs="Open Sans"/>
        <w:sz w:val="18"/>
        <w:szCs w:val="18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056B77" w:rsidRDefault="00CA303E">
    <w:pPr>
      <w:ind w:left="0"/>
      <w:jc w:val="center"/>
      <w:rPr>
        <w:b/>
        <w:sz w:val="28"/>
        <w:szCs w:val="28"/>
      </w:rPr>
    </w:pPr>
    <w:r>
      <w:rPr>
        <w:b/>
        <w:sz w:val="28"/>
        <w:szCs w:val="28"/>
      </w:rPr>
      <w:t>Follow us on social media!</w:t>
    </w:r>
  </w:p>
  <w:p w14:paraId="00000052" w14:textId="77777777" w:rsidR="00056B77" w:rsidRDefault="00CA303E">
    <w:pPr>
      <w:ind w:left="0"/>
      <w:jc w:val="center"/>
      <w:rPr>
        <w:sz w:val="28"/>
        <w:szCs w:val="28"/>
      </w:rPr>
    </w:pPr>
    <w:r>
      <w:rPr>
        <w:sz w:val="28"/>
        <w:szCs w:val="28"/>
      </w:rPr>
      <w:t>twitter: @curious_aggies</w:t>
    </w:r>
  </w:p>
  <w:p w14:paraId="00000053" w14:textId="77777777" w:rsidR="00056B77" w:rsidRDefault="00CA303E">
    <w:pPr>
      <w:ind w:left="0"/>
      <w:jc w:val="center"/>
    </w:pPr>
    <w:r>
      <w:rPr>
        <w:sz w:val="28"/>
        <w:szCs w:val="28"/>
      </w:rPr>
      <w:t>#CuriousAboutLearning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B881" w14:textId="77777777" w:rsidR="00CA303E" w:rsidRDefault="00CA303E">
      <w:pPr>
        <w:spacing w:line="240" w:lineRule="auto"/>
      </w:pPr>
      <w:r>
        <w:separator/>
      </w:r>
    </w:p>
  </w:footnote>
  <w:footnote w:type="continuationSeparator" w:id="0">
    <w:p w14:paraId="3A3FB05C" w14:textId="77777777" w:rsidR="00CA303E" w:rsidRDefault="00CA3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591E" w14:textId="77777777" w:rsidR="0017682D" w:rsidRDefault="00176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C1D118A" w:rsidR="00056B77" w:rsidRDefault="00CA303E">
    <w:pPr>
      <w:jc w:val="right"/>
      <w:rPr>
        <w:rFonts w:ascii="Open Sans" w:eastAsia="Open Sans" w:hAnsi="Open Sans" w:cs="Open Sans"/>
        <w:sz w:val="22"/>
        <w:szCs w:val="22"/>
      </w:rPr>
    </w:pPr>
    <w:r>
      <w:rPr>
        <w:rFonts w:ascii="Open Sans" w:eastAsia="Open Sans" w:hAnsi="Open Sans" w:cs="Open Sans"/>
        <w:color w:val="002855"/>
        <w:sz w:val="22"/>
        <w:szCs w:val="22"/>
      </w:rPr>
      <w:t xml:space="preserve">page </w:t>
    </w:r>
    <w:r>
      <w:rPr>
        <w:rFonts w:ascii="Open Sans" w:eastAsia="Open Sans" w:hAnsi="Open Sans" w:cs="Open Sans"/>
        <w:color w:val="002855"/>
        <w:sz w:val="22"/>
        <w:szCs w:val="22"/>
      </w:rPr>
      <w:fldChar w:fldCharType="begin"/>
    </w:r>
    <w:r>
      <w:rPr>
        <w:rFonts w:ascii="Open Sans" w:eastAsia="Open Sans" w:hAnsi="Open Sans" w:cs="Open Sans"/>
        <w:color w:val="002855"/>
        <w:sz w:val="22"/>
        <w:szCs w:val="22"/>
      </w:rPr>
      <w:instrText>PAGE</w:instrText>
    </w:r>
    <w:r w:rsidR="0017682D">
      <w:rPr>
        <w:rFonts w:ascii="Open Sans" w:eastAsia="Open Sans" w:hAnsi="Open Sans" w:cs="Open Sans"/>
        <w:color w:val="002855"/>
        <w:sz w:val="22"/>
        <w:szCs w:val="22"/>
      </w:rPr>
      <w:fldChar w:fldCharType="separate"/>
    </w:r>
    <w:r w:rsidR="0017682D">
      <w:rPr>
        <w:rFonts w:ascii="Open Sans" w:eastAsia="Open Sans" w:hAnsi="Open Sans" w:cs="Open Sans"/>
        <w:noProof/>
        <w:color w:val="002855"/>
        <w:sz w:val="22"/>
        <w:szCs w:val="22"/>
      </w:rPr>
      <w:t>2</w:t>
    </w:r>
    <w:r>
      <w:rPr>
        <w:rFonts w:ascii="Open Sans" w:eastAsia="Open Sans" w:hAnsi="Open Sans" w:cs="Open Sans"/>
        <w:color w:val="002855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E" w14:textId="77777777" w:rsidR="00056B77" w:rsidRDefault="00CA303E">
    <w:pPr>
      <w:ind w:left="0"/>
      <w:rPr>
        <w:rFonts w:ascii="Open Sans" w:eastAsia="Open Sans" w:hAnsi="Open Sans" w:cs="Open Sans"/>
        <w:b/>
        <w:color w:val="002855"/>
        <w:sz w:val="28"/>
        <w:szCs w:val="28"/>
      </w:rPr>
    </w:pPr>
    <w:r>
      <w:rPr>
        <w:rFonts w:ascii="Open Sans" w:eastAsia="Open Sans" w:hAnsi="Open Sans" w:cs="Open Sans"/>
        <w:b/>
        <w:color w:val="002855"/>
        <w:sz w:val="28"/>
        <w:szCs w:val="28"/>
      </w:rPr>
      <w:t xml:space="preserve">Curious Aggies 2020: </w:t>
    </w:r>
  </w:p>
  <w:p w14:paraId="0000004F" w14:textId="77777777" w:rsidR="00056B77" w:rsidRDefault="00CA303E">
    <w:pPr>
      <w:rPr>
        <w:rFonts w:ascii="Open Sans" w:eastAsia="Open Sans" w:hAnsi="Open Sans" w:cs="Open Sans"/>
        <w:b/>
        <w:color w:val="002855"/>
      </w:rPr>
    </w:pPr>
    <w:r>
      <w:rPr>
        <w:rFonts w:ascii="Open Sans" w:eastAsia="Open Sans" w:hAnsi="Open Sans" w:cs="Open Sans"/>
        <w:b/>
        <w:color w:val="002855"/>
      </w:rPr>
      <w:t>How do students find out what faculty expect them to learn? Let’s ask them!</w:t>
    </w:r>
  </w:p>
  <w:p w14:paraId="00000050" w14:textId="77777777" w:rsidR="00056B77" w:rsidRDefault="00056B77">
    <w:pPr>
      <w:jc w:val="right"/>
      <w:rPr>
        <w:b/>
        <w:color w:val="0028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96D"/>
    <w:multiLevelType w:val="multilevel"/>
    <w:tmpl w:val="9028F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B709C8"/>
    <w:multiLevelType w:val="multilevel"/>
    <w:tmpl w:val="C10A1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2371AD"/>
    <w:multiLevelType w:val="multilevel"/>
    <w:tmpl w:val="AA147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A1173F"/>
    <w:multiLevelType w:val="multilevel"/>
    <w:tmpl w:val="0BB8E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D516809"/>
    <w:multiLevelType w:val="multilevel"/>
    <w:tmpl w:val="C7E0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77"/>
    <w:rsid w:val="00056B77"/>
    <w:rsid w:val="0017682D"/>
    <w:rsid w:val="00C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2689F-EF9B-FB48-9380-4A78C346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sz w:val="24"/>
        <w:szCs w:val="24"/>
        <w:lang w:val="en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68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2D"/>
  </w:style>
  <w:style w:type="paragraph" w:styleId="Footer">
    <w:name w:val="footer"/>
    <w:basedOn w:val="Normal"/>
    <w:link w:val="FooterChar"/>
    <w:uiPriority w:val="99"/>
    <w:unhideWhenUsed/>
    <w:rsid w:val="001768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competencyworks.org/wp-content/uploads/2017/06/CompetencyWorks-InPursuitOfEquality-AFrameworkForEquityStrategiesInCompetencyBasedEduc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ebscohost.com/login.aspx?direct=true&amp;db=a9h&amp;AN=93465864&amp;site=ehost-live" TargetMode="External"/><Relationship Id="rId7" Type="http://schemas.openxmlformats.org/officeDocument/2006/relationships/hyperlink" Target="https://assessment.ucdavis.edu/CA2020AAHLE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learningoutcomesassessmen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ingoutcomesassessment.org" TargetMode="External"/><Relationship Id="rId20" Type="http://schemas.openxmlformats.org/officeDocument/2006/relationships/hyperlink" Target="http://search.ebscohost.com/login.aspx?direct=true&amp;db=a9h&amp;AN=93465864&amp;site=ehost-li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oi.org/10.3389/feduc.2018.00069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competencyworks.org/wp-content/uploads/2017/06/CompetencyWorks-InPursuitOfEquality-AFrameworkForEquityStrategiesInCompetencyBasedEducation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3389/feduc.2018.00069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yason@ucdavis.edu" TargetMode="External"/><Relationship Id="rId2" Type="http://schemas.openxmlformats.org/officeDocument/2006/relationships/hyperlink" Target="mailto:kmoloney@ucdavis.edu" TargetMode="External"/><Relationship Id="rId1" Type="http://schemas.openxmlformats.org/officeDocument/2006/relationships/hyperlink" Target="mailto:aglazer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Moloney</cp:lastModifiedBy>
  <cp:revision>2</cp:revision>
  <dcterms:created xsi:type="dcterms:W3CDTF">2020-06-12T02:06:00Z</dcterms:created>
  <dcterms:modified xsi:type="dcterms:W3CDTF">2020-06-12T02:06:00Z</dcterms:modified>
</cp:coreProperties>
</file>