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006A" w14:textId="0874AC4E" w:rsidR="00642CE9" w:rsidRDefault="00FA26DA" w:rsidP="00642CE9">
      <w:pPr>
        <w:spacing w:before="100" w:beforeAutospacing="1" w:after="100" w:afterAutospacing="1"/>
        <w:rPr>
          <w:rFonts w:ascii="Proxima Nova" w:eastAsia="Times New Roman" w:hAnsi="Proxima Nova" w:cs="Arial"/>
          <w:b/>
          <w:bCs/>
          <w:sz w:val="28"/>
          <w:szCs w:val="28"/>
        </w:rPr>
      </w:pPr>
      <w:r>
        <w:rPr>
          <w:rFonts w:ascii="Proxima Nova" w:eastAsia="Times New Roman" w:hAnsi="Proxima Nova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2D65E" wp14:editId="7772B072">
                <wp:simplePos x="0" y="0"/>
                <wp:positionH relativeFrom="column">
                  <wp:posOffset>-436880</wp:posOffset>
                </wp:positionH>
                <wp:positionV relativeFrom="paragraph">
                  <wp:posOffset>0</wp:posOffset>
                </wp:positionV>
                <wp:extent cx="10009505" cy="1229360"/>
                <wp:effectExtent l="0" t="0" r="107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9505" cy="1229360"/>
                        </a:xfrm>
                        <a:prstGeom prst="rect">
                          <a:avLst/>
                        </a:prstGeom>
                        <a:solidFill>
                          <a:srgbClr val="25613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0D2CF" id="Rectangle 7" o:spid="_x0000_s1026" style="position:absolute;margin-left:-34.4pt;margin-top:0;width:788.15pt;height:9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" fillcolor="#25613f" strokecolor="#1f3763 [1604]" strokeweight="1pt"/>
            </w:pict>
          </mc:Fallback>
        </mc:AlternateContent>
      </w:r>
      <w:r w:rsidR="00642CE9">
        <w:rPr>
          <w:rFonts w:ascii="Proxima Nova" w:eastAsia="Times New Roman" w:hAnsi="Proxima Nova" w:cs="Times New Roman"/>
          <w:noProof/>
          <w:sz w:val="21"/>
          <w:szCs w:val="21"/>
        </w:rPr>
        <w:drawing>
          <wp:inline distT="0" distB="0" distL="0" distR="0" wp14:anchorId="7BF4797B" wp14:editId="3A005CEA">
            <wp:extent cx="8229600" cy="1174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DDE6" w14:textId="70FDF208" w:rsidR="00642CE9" w:rsidRPr="00642CE9" w:rsidRDefault="00642CE9" w:rsidP="00642CE9">
      <w:pPr>
        <w:spacing w:before="100" w:beforeAutospacing="1" w:after="100" w:afterAutospacing="1"/>
        <w:rPr>
          <w:rFonts w:ascii="Proxima Nova" w:eastAsia="Times New Roman" w:hAnsi="Proxima Nova" w:cs="Arial"/>
          <w:b/>
          <w:bCs/>
          <w:color w:val="25613F"/>
          <w:sz w:val="44"/>
          <w:szCs w:val="44"/>
        </w:rPr>
      </w:pPr>
      <w:r w:rsidRPr="002C3190">
        <w:rPr>
          <w:rFonts w:ascii="Proxima Nova" w:eastAsia="Times New Roman" w:hAnsi="Proxima Nova" w:cs="Arial"/>
          <w:b/>
          <w:bCs/>
          <w:color w:val="25613F"/>
          <w:sz w:val="44"/>
          <w:szCs w:val="44"/>
        </w:rPr>
        <w:t>At-</w:t>
      </w:r>
      <w:r w:rsidR="009867ED">
        <w:rPr>
          <w:rFonts w:ascii="Proxima Nova" w:eastAsia="Times New Roman" w:hAnsi="Proxima Nova" w:cs="Arial"/>
          <w:b/>
          <w:bCs/>
          <w:color w:val="25613F"/>
          <w:sz w:val="44"/>
          <w:szCs w:val="44"/>
        </w:rPr>
        <w:t>A</w:t>
      </w:r>
      <w:r w:rsidRPr="002C3190">
        <w:rPr>
          <w:rFonts w:ascii="Proxima Nova" w:eastAsia="Times New Roman" w:hAnsi="Proxima Nova" w:cs="Arial"/>
          <w:b/>
          <w:bCs/>
          <w:color w:val="25613F"/>
          <w:sz w:val="44"/>
          <w:szCs w:val="44"/>
        </w:rPr>
        <w:t>-Glance</w:t>
      </w:r>
      <w:r w:rsidRPr="00642CE9">
        <w:rPr>
          <w:rFonts w:ascii="Proxima Nova" w:eastAsia="Times New Roman" w:hAnsi="Proxima Nova" w:cs="Arial"/>
          <w:b/>
          <w:bCs/>
          <w:color w:val="25613F"/>
          <w:sz w:val="44"/>
          <w:szCs w:val="44"/>
        </w:rPr>
        <w:t xml:space="preserve"> Schedule </w:t>
      </w:r>
    </w:p>
    <w:tbl>
      <w:tblPr>
        <w:tblW w:w="14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3576"/>
        <w:gridCol w:w="4475"/>
        <w:gridCol w:w="3691"/>
      </w:tblGrid>
      <w:tr w:rsidR="00793258" w:rsidRPr="00642CE9" w14:paraId="3ACE509A" w14:textId="77777777" w:rsidTr="009867ED"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24" w:space="0" w:color="DBC6B7"/>
              <w:right w:val="single" w:sz="8" w:space="0" w:color="000000"/>
            </w:tcBorders>
            <w:shd w:val="clear" w:color="auto" w:fill="022851"/>
            <w:vAlign w:val="center"/>
            <w:hideMark/>
          </w:tcPr>
          <w:p w14:paraId="78667A0A" w14:textId="77777777" w:rsidR="00642CE9" w:rsidRPr="002012EF" w:rsidRDefault="00642CE9" w:rsidP="00642CE9">
            <w:pPr>
              <w:rPr>
                <w:rFonts w:ascii="Proxima Nova" w:eastAsia="Times New Roman" w:hAnsi="Proxima Nova" w:cs="Times New Roman"/>
                <w:color w:val="FFBF00"/>
                <w:sz w:val="21"/>
                <w:szCs w:val="21"/>
              </w:rPr>
            </w:pPr>
          </w:p>
          <w:p w14:paraId="3FE301E4" w14:textId="58D1819E" w:rsidR="00642CE9" w:rsidRPr="00642CE9" w:rsidRDefault="00642CE9" w:rsidP="00642CE9">
            <w:pPr>
              <w:rPr>
                <w:rFonts w:ascii="Proxima Nova" w:eastAsia="Times New Roman" w:hAnsi="Proxima Nova" w:cs="Times New Roman"/>
                <w:color w:val="FFBF00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24" w:space="0" w:color="DBC6BA"/>
              <w:right w:val="single" w:sz="8" w:space="0" w:color="000000"/>
            </w:tcBorders>
            <w:shd w:val="clear" w:color="auto" w:fill="022851"/>
            <w:vAlign w:val="center"/>
            <w:hideMark/>
          </w:tcPr>
          <w:p w14:paraId="02CC61AC" w14:textId="7008ECC4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color w:val="FFBF00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color w:val="FFBF00"/>
                <w:sz w:val="21"/>
                <w:szCs w:val="21"/>
              </w:rPr>
              <w:t>Tue 22 Sep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24" w:space="0" w:color="DBC6BA"/>
              <w:right w:val="single" w:sz="8" w:space="0" w:color="000000"/>
            </w:tcBorders>
            <w:shd w:val="clear" w:color="auto" w:fill="022851"/>
            <w:vAlign w:val="center"/>
            <w:hideMark/>
          </w:tcPr>
          <w:p w14:paraId="75CBAECA" w14:textId="2170126B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color w:val="FFBF00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color w:val="FFBF00"/>
                <w:sz w:val="21"/>
                <w:szCs w:val="21"/>
              </w:rPr>
              <w:t>Wed 23 Sep: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24" w:space="0" w:color="DBC6BA"/>
              <w:right w:val="single" w:sz="8" w:space="0" w:color="000000"/>
            </w:tcBorders>
            <w:shd w:val="clear" w:color="auto" w:fill="022851"/>
            <w:vAlign w:val="center"/>
            <w:hideMark/>
          </w:tcPr>
          <w:p w14:paraId="1469D2F2" w14:textId="637F460C" w:rsidR="00642CE9" w:rsidRPr="00642CE9" w:rsidRDefault="00642CE9" w:rsidP="00642CE9">
            <w:pPr>
              <w:jc w:val="center"/>
              <w:rPr>
                <w:rFonts w:ascii="Proxima Nova" w:eastAsia="Times New Roman" w:hAnsi="Proxima Nova" w:cs="Times New Roman"/>
                <w:color w:val="FFBF00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color w:val="FFBF00"/>
                <w:sz w:val="21"/>
                <w:szCs w:val="21"/>
                <w:shd w:val="clear" w:color="auto" w:fill="022851"/>
              </w:rPr>
              <w:fldChar w:fldCharType="begin"/>
            </w:r>
            <w:r w:rsidRPr="00642CE9">
              <w:rPr>
                <w:rFonts w:ascii="Proxima Nova" w:eastAsia="Times New Roman" w:hAnsi="Proxima Nova" w:cs="Times New Roman"/>
                <w:color w:val="FFBF00"/>
                <w:sz w:val="21"/>
                <w:szCs w:val="21"/>
                <w:shd w:val="clear" w:color="auto" w:fill="022851"/>
              </w:rPr>
              <w:instrText xml:space="preserve"> INCLUDEPICTURE "/var/folders/98/wbx_r19s34l2wc2dqxtt3bxj53jgnb/T/com.microsoft.Word/WebArchiveCopyPasteTempFiles/page1image2071464800" \* MERGEFORMATINET </w:instrText>
            </w:r>
            <w:r w:rsidRPr="00642CE9">
              <w:rPr>
                <w:rFonts w:ascii="Proxima Nova" w:eastAsia="Times New Roman" w:hAnsi="Proxima Nova" w:cs="Times New Roman"/>
                <w:color w:val="FFBF00"/>
                <w:sz w:val="21"/>
                <w:szCs w:val="21"/>
                <w:shd w:val="clear" w:color="auto" w:fill="022851"/>
              </w:rPr>
              <w:fldChar w:fldCharType="separate"/>
            </w:r>
            <w:r w:rsidRPr="002012EF">
              <w:rPr>
                <w:rFonts w:ascii="Proxima Nova" w:eastAsia="Times New Roman" w:hAnsi="Proxima Nova" w:cs="Times New Roman"/>
                <w:noProof/>
                <w:color w:val="FFBF00"/>
                <w:sz w:val="21"/>
                <w:szCs w:val="21"/>
                <w:shd w:val="clear" w:color="auto" w:fill="022851"/>
              </w:rPr>
              <w:drawing>
                <wp:inline distT="0" distB="0" distL="0" distR="0" wp14:anchorId="2371EBE5" wp14:editId="4E10C35A">
                  <wp:extent cx="15875" cy="15875"/>
                  <wp:effectExtent l="0" t="0" r="0" b="0"/>
                  <wp:docPr id="4" name="Picture 4" descr="page1image2071464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071464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CE9">
              <w:rPr>
                <w:rFonts w:ascii="Proxima Nova" w:eastAsia="Times New Roman" w:hAnsi="Proxima Nova" w:cs="Times New Roman"/>
                <w:color w:val="FFBF00"/>
                <w:sz w:val="21"/>
                <w:szCs w:val="21"/>
                <w:shd w:val="clear" w:color="auto" w:fill="022851"/>
              </w:rPr>
              <w:fldChar w:fldCharType="end"/>
            </w:r>
            <w:r w:rsidRPr="00642CE9">
              <w:rPr>
                <w:rFonts w:ascii="Proxima Nova" w:eastAsia="Times New Roman" w:hAnsi="Proxima Nova" w:cs="Arial"/>
                <w:b/>
                <w:bCs/>
                <w:color w:val="FFBF00"/>
                <w:sz w:val="21"/>
                <w:szCs w:val="21"/>
              </w:rPr>
              <w:t>Thu 24 Sep:</w:t>
            </w:r>
          </w:p>
        </w:tc>
      </w:tr>
      <w:tr w:rsidR="009867ED" w:rsidRPr="00642CE9" w14:paraId="11C3D634" w14:textId="77777777" w:rsidTr="009867ED">
        <w:trPr>
          <w:trHeight w:val="789"/>
        </w:trPr>
        <w:tc>
          <w:tcPr>
            <w:tcW w:w="2828" w:type="dxa"/>
            <w:tcBorders>
              <w:top w:val="single" w:sz="24" w:space="0" w:color="DBC6B7"/>
              <w:left w:val="single" w:sz="8" w:space="0" w:color="000000"/>
              <w:bottom w:val="single" w:sz="48" w:space="0" w:color="EDE0BF"/>
              <w:right w:val="single" w:sz="8" w:space="0" w:color="000000"/>
            </w:tcBorders>
            <w:shd w:val="clear" w:color="auto" w:fill="DFB20C"/>
            <w:vAlign w:val="center"/>
            <w:hideMark/>
          </w:tcPr>
          <w:p w14:paraId="17F6F0C0" w14:textId="372AFA97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>8:45-9:00:</w:t>
            </w:r>
          </w:p>
          <w:p w14:paraId="777EB031" w14:textId="06DC4C19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Opening Remarks</w:t>
            </w:r>
          </w:p>
        </w:tc>
        <w:tc>
          <w:tcPr>
            <w:tcW w:w="3576" w:type="dxa"/>
            <w:tcBorders>
              <w:top w:val="single" w:sz="24" w:space="0" w:color="DBC6BA"/>
              <w:left w:val="single" w:sz="8" w:space="0" w:color="000000"/>
              <w:bottom w:val="single" w:sz="48" w:space="0" w:color="EDE0BF"/>
              <w:right w:val="single" w:sz="8" w:space="0" w:color="000000"/>
            </w:tcBorders>
            <w:shd w:val="clear" w:color="auto" w:fill="DFB20C"/>
            <w:vAlign w:val="center"/>
            <w:hideMark/>
          </w:tcPr>
          <w:p w14:paraId="523A3BB7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Gary May</w:t>
            </w: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, Chancellor </w:t>
            </w:r>
          </w:p>
        </w:tc>
        <w:tc>
          <w:tcPr>
            <w:tcW w:w="4475" w:type="dxa"/>
            <w:tcBorders>
              <w:top w:val="single" w:sz="24" w:space="0" w:color="DBC6BA"/>
              <w:left w:val="single" w:sz="8" w:space="0" w:color="000000"/>
              <w:bottom w:val="single" w:sz="48" w:space="0" w:color="EFE0BF"/>
              <w:right w:val="single" w:sz="8" w:space="0" w:color="000000"/>
            </w:tcBorders>
            <w:shd w:val="clear" w:color="auto" w:fill="DFB20C"/>
            <w:vAlign w:val="center"/>
            <w:hideMark/>
          </w:tcPr>
          <w:p w14:paraId="0565DC77" w14:textId="531B0425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Renetta Garrison </w:t>
            </w:r>
            <w:proofErr w:type="spellStart"/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Tull</w:t>
            </w:r>
            <w:proofErr w:type="spellEnd"/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, </w:t>
            </w: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VC DEI </w:t>
            </w:r>
          </w:p>
        </w:tc>
        <w:tc>
          <w:tcPr>
            <w:tcW w:w="3691" w:type="dxa"/>
            <w:tcBorders>
              <w:top w:val="single" w:sz="24" w:space="0" w:color="DBC6BA"/>
              <w:left w:val="single" w:sz="8" w:space="0" w:color="000000"/>
              <w:bottom w:val="single" w:sz="48" w:space="0" w:color="EDE0BF"/>
              <w:right w:val="single" w:sz="8" w:space="0" w:color="000000"/>
            </w:tcBorders>
            <w:shd w:val="clear" w:color="auto" w:fill="DFB20C"/>
            <w:vAlign w:val="center"/>
            <w:hideMark/>
          </w:tcPr>
          <w:p w14:paraId="2FC77442" w14:textId="77777777" w:rsidR="00642CE9" w:rsidRPr="00642CE9" w:rsidRDefault="00642CE9" w:rsidP="00793258">
            <w:pPr>
              <w:spacing w:before="100" w:beforeAutospacing="1" w:after="100" w:afterAutospacing="1"/>
              <w:ind w:left="168" w:right="542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Cynthia Carter Ching</w:t>
            </w: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, VPDUE </w:t>
            </w:r>
          </w:p>
        </w:tc>
      </w:tr>
      <w:tr w:rsidR="00793258" w:rsidRPr="00642CE9" w14:paraId="6B9DCD40" w14:textId="77777777" w:rsidTr="009867ED">
        <w:tc>
          <w:tcPr>
            <w:tcW w:w="2828" w:type="dxa"/>
            <w:tcBorders>
              <w:top w:val="single" w:sz="48" w:space="0" w:color="EDE0BF"/>
              <w:left w:val="single" w:sz="8" w:space="0" w:color="000000"/>
              <w:bottom w:val="single" w:sz="48" w:space="0" w:color="D6D3B5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0FD54A5" w14:textId="4C601B5F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>9:00-9:50:</w:t>
            </w:r>
          </w:p>
          <w:p w14:paraId="31A509EB" w14:textId="1E06DF82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Keynote</w:t>
            </w:r>
          </w:p>
        </w:tc>
        <w:tc>
          <w:tcPr>
            <w:tcW w:w="3576" w:type="dxa"/>
            <w:tcBorders>
              <w:top w:val="single" w:sz="48" w:space="0" w:color="EDE0BF"/>
              <w:left w:val="single" w:sz="8" w:space="0" w:color="000000"/>
              <w:bottom w:val="single" w:sz="48" w:space="0" w:color="D6D3B5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E97EE79" w14:textId="2809EFAE" w:rsidR="00092794" w:rsidRPr="00642CE9" w:rsidRDefault="00793258" w:rsidP="00092794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</w:pPr>
            <w:hyperlink r:id="rId6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Natasha Jankowski</w:t>
              </w:r>
            </w:hyperlink>
          </w:p>
          <w:p w14:paraId="60ACFCFE" w14:textId="203CBCC1" w:rsidR="00642CE9" w:rsidRPr="00642CE9" w:rsidRDefault="00642CE9" w:rsidP="00793258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In this keynote, Natasha will explicitly introduce the connection between assessment and equity &amp; why that connection matters. </w:t>
            </w:r>
          </w:p>
        </w:tc>
        <w:tc>
          <w:tcPr>
            <w:tcW w:w="4475" w:type="dxa"/>
            <w:tcBorders>
              <w:top w:val="single" w:sz="48" w:space="0" w:color="EFE0BF"/>
              <w:left w:val="single" w:sz="8" w:space="0" w:color="000000"/>
              <w:bottom w:val="single" w:sz="48" w:space="0" w:color="D6D3B7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7728DB6" w14:textId="4AFCC4F9" w:rsidR="00642CE9" w:rsidRPr="00642CE9" w:rsidRDefault="00092794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7" w:history="1">
              <w:r w:rsidR="00642CE9" w:rsidRPr="00092794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S</w:t>
              </w:r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tudent Panel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30B37F78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What UC Davis students want faculty to know about assessing student learning in these chaotic times </w:t>
            </w:r>
          </w:p>
        </w:tc>
        <w:tc>
          <w:tcPr>
            <w:tcW w:w="3691" w:type="dxa"/>
            <w:tcBorders>
              <w:top w:val="single" w:sz="48" w:space="0" w:color="EDE0BF"/>
              <w:left w:val="single" w:sz="8" w:space="0" w:color="000000"/>
              <w:bottom w:val="single" w:sz="48" w:space="0" w:color="D6D3B7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C7DE20B" w14:textId="7A64D946" w:rsidR="00642CE9" w:rsidRPr="00642CE9" w:rsidRDefault="00793258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8" w:history="1">
              <w:proofErr w:type="spellStart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Divya</w:t>
              </w:r>
              <w:proofErr w:type="spellEnd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 </w:t>
              </w:r>
              <w:proofErr w:type="spellStart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Bheda</w:t>
              </w:r>
              <w:proofErr w:type="spellEnd"/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545568AE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In this keynote, </w:t>
            </w:r>
            <w:proofErr w:type="spellStart"/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>Divya</w:t>
            </w:r>
            <w:proofErr w:type="spellEnd"/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 will reinforce the connection between assessment and equity, focusing on how faculty can demonstrate their commitment to equity- minded assessment </w:t>
            </w:r>
          </w:p>
        </w:tc>
      </w:tr>
      <w:tr w:rsidR="00793258" w:rsidRPr="00642CE9" w14:paraId="5D511E94" w14:textId="77777777" w:rsidTr="009867ED">
        <w:tc>
          <w:tcPr>
            <w:tcW w:w="2828" w:type="dxa"/>
            <w:tcBorders>
              <w:top w:val="single" w:sz="48" w:space="0" w:color="D6D3B5"/>
              <w:left w:val="single" w:sz="8" w:space="0" w:color="000000"/>
              <w:bottom w:val="single" w:sz="48" w:space="0" w:color="B7BFC4"/>
              <w:right w:val="single" w:sz="8" w:space="0" w:color="000000"/>
            </w:tcBorders>
            <w:shd w:val="clear" w:color="auto" w:fill="AADA91"/>
            <w:vAlign w:val="center"/>
            <w:hideMark/>
          </w:tcPr>
          <w:p w14:paraId="1FD7FBA0" w14:textId="08B94975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>10:00-10:50</w:t>
            </w:r>
          </w:p>
          <w:p w14:paraId="3BDCE7D7" w14:textId="2C14BD45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Workshop</w:t>
            </w: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3576" w:type="dxa"/>
            <w:tcBorders>
              <w:top w:val="single" w:sz="48" w:space="0" w:color="D6D3B5"/>
              <w:left w:val="single" w:sz="8" w:space="0" w:color="000000"/>
              <w:bottom w:val="single" w:sz="48" w:space="0" w:color="B7C1C4"/>
              <w:right w:val="single" w:sz="8" w:space="0" w:color="000000"/>
            </w:tcBorders>
            <w:shd w:val="clear" w:color="auto" w:fill="AADA91"/>
            <w:vAlign w:val="center"/>
            <w:hideMark/>
          </w:tcPr>
          <w:p w14:paraId="24B6FE38" w14:textId="3CED3901" w:rsidR="00642CE9" w:rsidRPr="00642CE9" w:rsidRDefault="00793258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9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CEE Academic Assessment Team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1B437F64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How to make student learning outcomes transparent and comprehensible to students (and why doing so is essential) </w:t>
            </w:r>
          </w:p>
        </w:tc>
        <w:tc>
          <w:tcPr>
            <w:tcW w:w="4475" w:type="dxa"/>
            <w:tcBorders>
              <w:top w:val="single" w:sz="48" w:space="0" w:color="D6D3B7"/>
              <w:left w:val="single" w:sz="8" w:space="0" w:color="000000"/>
              <w:bottom w:val="single" w:sz="48" w:space="0" w:color="B7C1C4"/>
              <w:right w:val="single" w:sz="8" w:space="0" w:color="000000"/>
            </w:tcBorders>
            <w:shd w:val="clear" w:color="auto" w:fill="AADA91"/>
            <w:vAlign w:val="center"/>
            <w:hideMark/>
          </w:tcPr>
          <w:p w14:paraId="077AD907" w14:textId="246435C6" w:rsidR="00642CE9" w:rsidRPr="00642CE9" w:rsidRDefault="00793258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10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Kory Ching &amp; Maureen Kinyua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0EE48FC7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How to make assignment expectations (Kory) and evaluation criteria (Maureen) transparent and comprehensible to students (and why doing so is essential) </w:t>
            </w:r>
          </w:p>
        </w:tc>
        <w:tc>
          <w:tcPr>
            <w:tcW w:w="3691" w:type="dxa"/>
            <w:tcBorders>
              <w:top w:val="single" w:sz="48" w:space="0" w:color="D6D3B7"/>
              <w:left w:val="single" w:sz="8" w:space="0" w:color="000000"/>
              <w:bottom w:val="single" w:sz="48" w:space="0" w:color="B7C1C4"/>
              <w:right w:val="single" w:sz="8" w:space="0" w:color="000000"/>
            </w:tcBorders>
            <w:shd w:val="clear" w:color="auto" w:fill="AADA91"/>
            <w:vAlign w:val="center"/>
            <w:hideMark/>
          </w:tcPr>
          <w:p w14:paraId="716C7B8A" w14:textId="551FB727" w:rsidR="00642CE9" w:rsidRPr="00642CE9" w:rsidRDefault="00793258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11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Mark </w:t>
              </w:r>
              <w:proofErr w:type="spellStart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Verbitsky</w:t>
              </w:r>
              <w:proofErr w:type="spellEnd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 &amp; Dan Melzer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69CC4A73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How to incorporate reflections (Mark) and authentic (writing) tasks (Dan) for meaningful, equity-minded assessment of student learning (and why that is beneficial) </w:t>
            </w:r>
          </w:p>
        </w:tc>
      </w:tr>
      <w:tr w:rsidR="009867ED" w:rsidRPr="00642CE9" w14:paraId="23424E94" w14:textId="77777777" w:rsidTr="009867ED">
        <w:tc>
          <w:tcPr>
            <w:tcW w:w="2828" w:type="dxa"/>
            <w:tcBorders>
              <w:top w:val="single" w:sz="48" w:space="0" w:color="B7BFC4"/>
              <w:left w:val="single" w:sz="8" w:space="0" w:color="000000"/>
              <w:bottom w:val="single" w:sz="24" w:space="0" w:color="7C848C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C0EF6D3" w14:textId="0F6B968C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>11:00-11:50:</w:t>
            </w:r>
          </w:p>
          <w:p w14:paraId="351FB513" w14:textId="710FD504" w:rsidR="00642CE9" w:rsidRPr="00642CE9" w:rsidRDefault="00642CE9" w:rsidP="00642CE9">
            <w:pPr>
              <w:spacing w:before="100" w:beforeAutospacing="1" w:after="100" w:afterAutospacing="1"/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>Workshop</w:t>
            </w:r>
            <w:r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2</w:t>
            </w:r>
          </w:p>
          <w:p w14:paraId="1C726B21" w14:textId="4838B20B" w:rsidR="00642CE9" w:rsidRPr="00642CE9" w:rsidRDefault="00642CE9" w:rsidP="00642CE9">
            <w:pPr>
              <w:jc w:val="center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fldChar w:fldCharType="begin"/>
            </w: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instrText xml:space="preserve"> INCLUDEPICTURE "/var/folders/98/wbx_r19s34l2wc2dqxtt3bxj53jgnb/T/com.microsoft.Word/WebArchiveCopyPasteTempFiles/page1image2069202880" \* MERGEFORMATINET </w:instrText>
            </w: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fldChar w:fldCharType="separate"/>
            </w:r>
            <w:r w:rsidRPr="00642CE9">
              <w:rPr>
                <w:rFonts w:ascii="Proxima Nova" w:eastAsia="Times New Roman" w:hAnsi="Proxima Nova" w:cs="Times New Roman"/>
                <w:noProof/>
                <w:sz w:val="21"/>
                <w:szCs w:val="21"/>
              </w:rPr>
              <w:drawing>
                <wp:inline distT="0" distB="0" distL="0" distR="0" wp14:anchorId="3763A57B" wp14:editId="72EF50F9">
                  <wp:extent cx="15875" cy="15875"/>
                  <wp:effectExtent l="0" t="0" r="0" b="0"/>
                  <wp:docPr id="1" name="Picture 1" descr="page1image2069202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69202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fldChar w:fldCharType="end"/>
            </w:r>
          </w:p>
        </w:tc>
        <w:tc>
          <w:tcPr>
            <w:tcW w:w="3576" w:type="dxa"/>
            <w:tcBorders>
              <w:top w:val="single" w:sz="48" w:space="0" w:color="B7C1C4"/>
              <w:left w:val="single" w:sz="8" w:space="0" w:color="000000"/>
              <w:bottom w:val="single" w:sz="24" w:space="0" w:color="7C828C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6C848091" w14:textId="206592A5" w:rsidR="00642CE9" w:rsidRPr="00642CE9" w:rsidRDefault="00E5198F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12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Natasha Jankowski &amp; Korana Burke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324521A1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How (and why) to include students’ input on ways to demonstrate learning (Natasha) and grading (Korana) </w:t>
            </w:r>
          </w:p>
        </w:tc>
        <w:tc>
          <w:tcPr>
            <w:tcW w:w="4475" w:type="dxa"/>
            <w:tcBorders>
              <w:top w:val="single" w:sz="48" w:space="0" w:color="B7C1C4"/>
              <w:left w:val="single" w:sz="8" w:space="0" w:color="000000"/>
              <w:bottom w:val="single" w:sz="24" w:space="0" w:color="7C848C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127E725" w14:textId="1E25CDF2" w:rsidR="00642CE9" w:rsidRPr="00642CE9" w:rsidRDefault="00793258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13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Anne </w:t>
              </w:r>
              <w:proofErr w:type="spellStart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Todgham</w:t>
              </w:r>
              <w:proofErr w:type="spellEnd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 &amp; Barbara Mills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12DB3F20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How to create (and implement) tests with equity in mind </w:t>
            </w:r>
          </w:p>
        </w:tc>
        <w:tc>
          <w:tcPr>
            <w:tcW w:w="3691" w:type="dxa"/>
            <w:tcBorders>
              <w:top w:val="single" w:sz="48" w:space="0" w:color="B7C1C4"/>
              <w:left w:val="single" w:sz="8" w:space="0" w:color="000000"/>
              <w:bottom w:val="single" w:sz="24" w:space="0" w:color="7C828C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00116973" w14:textId="209C06FC" w:rsidR="00642CE9" w:rsidRPr="00642CE9" w:rsidRDefault="00793258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hyperlink r:id="rId14" w:history="1"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Heather J </w:t>
              </w:r>
              <w:proofErr w:type="spellStart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>Hether</w:t>
              </w:r>
              <w:proofErr w:type="spellEnd"/>
              <w:r w:rsidR="00642CE9" w:rsidRPr="00642CE9">
                <w:rPr>
                  <w:rStyle w:val="Hyperlink"/>
                  <w:rFonts w:ascii="Proxima Nova" w:eastAsia="Times New Roman" w:hAnsi="Proxima Nova" w:cs="Arial"/>
                  <w:b/>
                  <w:bCs/>
                  <w:sz w:val="21"/>
                  <w:szCs w:val="21"/>
                </w:rPr>
                <w:t xml:space="preserve"> &amp; Jennifer Choi</w:t>
              </w:r>
            </w:hyperlink>
            <w:r w:rsidR="00642CE9" w:rsidRPr="00642CE9">
              <w:rPr>
                <w:rFonts w:ascii="Proxima Nova" w:eastAsia="Times New Roman" w:hAnsi="Proxima Nova" w:cs="Arial"/>
                <w:b/>
                <w:bCs/>
                <w:sz w:val="21"/>
                <w:szCs w:val="21"/>
              </w:rPr>
              <w:t xml:space="preserve"> </w:t>
            </w:r>
          </w:p>
          <w:p w14:paraId="37070472" w14:textId="77777777" w:rsidR="00642CE9" w:rsidRPr="00642CE9" w:rsidRDefault="00642CE9" w:rsidP="00FA26DA">
            <w:pPr>
              <w:spacing w:before="100" w:beforeAutospacing="1" w:after="100" w:afterAutospacing="1"/>
              <w:ind w:left="168"/>
              <w:rPr>
                <w:rFonts w:ascii="Proxima Nova" w:eastAsia="Times New Roman" w:hAnsi="Proxima Nova" w:cs="Times New Roman"/>
                <w:sz w:val="21"/>
                <w:szCs w:val="21"/>
              </w:rPr>
            </w:pPr>
            <w:r w:rsidRPr="00642CE9">
              <w:rPr>
                <w:rFonts w:ascii="Proxima Nova" w:eastAsia="Times New Roman" w:hAnsi="Proxima Nova" w:cs="Times New Roman"/>
                <w:sz w:val="21"/>
                <w:szCs w:val="21"/>
              </w:rPr>
              <w:t xml:space="preserve">How (and why) to assign and assess group work to support equity </w:t>
            </w:r>
          </w:p>
        </w:tc>
      </w:tr>
    </w:tbl>
    <w:p w14:paraId="6CCB03EC" w14:textId="77777777" w:rsidR="009867ED" w:rsidRDefault="009867ED" w:rsidP="00793258"/>
    <w:p w14:paraId="303EAEC4" w14:textId="77777777" w:rsidR="009867ED" w:rsidRDefault="009867ED" w:rsidP="00793258"/>
    <w:p w14:paraId="1C17216F" w14:textId="203D318B" w:rsidR="00187117" w:rsidRDefault="009867ED" w:rsidP="00793258">
      <w:r>
        <w:rPr>
          <w:noProof/>
        </w:rPr>
        <w:drawing>
          <wp:anchor distT="0" distB="0" distL="114300" distR="114300" simplePos="0" relativeHeight="251660288" behindDoc="0" locked="0" layoutInCell="1" allowOverlap="1" wp14:anchorId="71A223BE" wp14:editId="4CBBF44D">
            <wp:simplePos x="0" y="0"/>
            <wp:positionH relativeFrom="margin">
              <wp:posOffset>6908800</wp:posOffset>
            </wp:positionH>
            <wp:positionV relativeFrom="margin">
              <wp:posOffset>6413500</wp:posOffset>
            </wp:positionV>
            <wp:extent cx="2231390" cy="4203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11667" b="33333"/>
                    <a:stretch/>
                  </pic:blipFill>
                  <pic:spPr bwMode="auto">
                    <a:xfrm>
                      <a:off x="0" y="0"/>
                      <a:ext cx="2231390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7117" w:rsidSect="009867ED">
      <w:pgSz w:w="15840" w:h="12240" w:orient="landscape"/>
      <w:pgMar w:top="75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E9"/>
    <w:rsid w:val="00092794"/>
    <w:rsid w:val="002012EF"/>
    <w:rsid w:val="002C3190"/>
    <w:rsid w:val="00642CE9"/>
    <w:rsid w:val="00793258"/>
    <w:rsid w:val="009867ED"/>
    <w:rsid w:val="009C1430"/>
    <w:rsid w:val="00A203E3"/>
    <w:rsid w:val="00DB514B"/>
    <w:rsid w:val="00E169C1"/>
    <w:rsid w:val="00E5198F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6E12"/>
  <w15:chartTrackingRefBased/>
  <w15:docId w15:val="{2C9CB146-5800-884A-BBF1-8553F55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.ucdavis.edu/2020-Symposium/09-24/Bheda" TargetMode="External"/><Relationship Id="rId13" Type="http://schemas.openxmlformats.org/officeDocument/2006/relationships/hyperlink" Target="https://assessment.ucdavis.edu/2020-Symposium/09-23/Todgham-Mil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ssment.ucdavis.edu/2020-Symposium/09-22/A-Team" TargetMode="External"/><Relationship Id="rId12" Type="http://schemas.openxmlformats.org/officeDocument/2006/relationships/hyperlink" Target="file:///Promoting%20equity%20and%20engagement/%20Actively%20involving%20students%20in%20assess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sessment.ucdavis.edu/2020-Symposium/09-22/Jankowski" TargetMode="External"/><Relationship Id="rId11" Type="http://schemas.openxmlformats.org/officeDocument/2006/relationships/hyperlink" Target="https://assessment.ucdavis.edu/2020-Symposium/09-24/Verbitsky-Melze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10" Type="http://schemas.openxmlformats.org/officeDocument/2006/relationships/hyperlink" Target="https://assessment.ucdavis.edu/2020-Symposium/09-23/Ching-Kiny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ssessment.ucdavis.edu/2020-Symposium/09-22/A-Team" TargetMode="External"/><Relationship Id="rId14" Type="http://schemas.openxmlformats.org/officeDocument/2006/relationships/hyperlink" Target="https://assessment.ucdavis.edu/2020-Symposium/09-24/Choi-H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 Knox</dc:creator>
  <cp:keywords/>
  <dc:description/>
  <cp:lastModifiedBy>Sharon C Knox</cp:lastModifiedBy>
  <cp:revision>3</cp:revision>
  <dcterms:created xsi:type="dcterms:W3CDTF">2020-09-19T00:23:00Z</dcterms:created>
  <dcterms:modified xsi:type="dcterms:W3CDTF">2020-09-19T00:29:00Z</dcterms:modified>
</cp:coreProperties>
</file>